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7D" w:rsidRDefault="00663DA9" w:rsidP="007F767D">
      <w:pPr>
        <w:spacing w:line="240" w:lineRule="auto"/>
        <w:rPr>
          <w:rFonts w:ascii="Algerian" w:hAnsi="Algerian"/>
          <w:b/>
          <w:sz w:val="56"/>
          <w:szCs w:val="56"/>
          <w:u w:val="single"/>
        </w:rPr>
      </w:pPr>
      <w:r>
        <w:rPr>
          <w:rFonts w:ascii="Algerian" w:hAnsi="Algerian"/>
          <w:b/>
          <w:noProof/>
          <w:color w:val="7030A0"/>
          <w:sz w:val="56"/>
          <w:szCs w:val="56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75pt;margin-top:-26.5pt;width:263.05pt;height:141.5pt;z-index:251660288;mso-height-percent:200;mso-height-percent:200;mso-width-relative:margin;mso-height-relative:margin">
            <v:stroke dashstyle="dash"/>
            <v:textbox style="mso-next-textbox:#_x0000_s1026;mso-fit-shape-to-text:t">
              <w:txbxContent>
                <w:p w:rsidR="00AC154D" w:rsidRPr="001E5DE5" w:rsidRDefault="00AC154D" w:rsidP="002F7138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  <w:r w:rsidRPr="001E5DE5">
                    <w:rPr>
                      <w:b/>
                      <w:sz w:val="28"/>
                      <w:szCs w:val="28"/>
                    </w:rPr>
                    <w:t xml:space="preserve">Available to purchase </w:t>
                  </w:r>
                </w:p>
                <w:p w:rsidR="00AC154D" w:rsidRPr="001E5DE5" w:rsidRDefault="0094345D" w:rsidP="00195A7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8.15 – 8.2</w:t>
                  </w:r>
                  <w:r w:rsidR="00AC154D" w:rsidRPr="001E5DE5">
                    <w:rPr>
                      <w:sz w:val="28"/>
                      <w:szCs w:val="28"/>
                    </w:rPr>
                    <w:t>5 outside Main Hall</w:t>
                  </w:r>
                </w:p>
                <w:p w:rsidR="00AC154D" w:rsidRPr="001E5DE5" w:rsidRDefault="0094345D" w:rsidP="002F713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Break between 10.50 – 11.05</w:t>
                  </w:r>
                </w:p>
                <w:p w:rsidR="00AC154D" w:rsidRPr="001E5DE5" w:rsidRDefault="0094345D" w:rsidP="002F713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Lunch between 1.05</w:t>
                  </w:r>
                  <w:r w:rsidR="00AC154D" w:rsidRPr="001E5DE5">
                    <w:rPr>
                      <w:sz w:val="28"/>
                      <w:szCs w:val="28"/>
                    </w:rPr>
                    <w:t xml:space="preserve"> – 1.35</w:t>
                  </w:r>
                </w:p>
                <w:p w:rsidR="00AC154D" w:rsidRPr="001E5DE5" w:rsidRDefault="00AC154D" w:rsidP="002F713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1E5DE5">
                    <w:rPr>
                      <w:sz w:val="28"/>
                      <w:szCs w:val="28"/>
                    </w:rPr>
                    <w:t>Homework Club</w:t>
                  </w:r>
                  <w:r w:rsidR="0094345D">
                    <w:rPr>
                      <w:sz w:val="28"/>
                      <w:szCs w:val="28"/>
                    </w:rPr>
                    <w:t xml:space="preserve"> until 3:30</w:t>
                  </w:r>
                </w:p>
                <w:p w:rsidR="00AC154D" w:rsidRPr="001E5DE5" w:rsidRDefault="00AC154D" w:rsidP="002F7138">
                  <w:pPr>
                    <w:pStyle w:val="ListParagraph"/>
                    <w:rPr>
                      <w:sz w:val="28"/>
                      <w:szCs w:val="28"/>
                    </w:rPr>
                  </w:pPr>
                  <w:r w:rsidRPr="001E5DE5">
                    <w:rPr>
                      <w:sz w:val="28"/>
                      <w:szCs w:val="28"/>
                      <w:highlight w:val="yellow"/>
                    </w:rPr>
                    <w:t>Students should not be leaving lessons to purchase stationery</w:t>
                  </w:r>
                </w:p>
              </w:txbxContent>
            </v:textbox>
          </v:shape>
        </w:pic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S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T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A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T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I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O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N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E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R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Y</w:t>
      </w:r>
    </w:p>
    <w:p w:rsidR="001C39F9" w:rsidRPr="007F767D" w:rsidRDefault="007F767D" w:rsidP="007F767D">
      <w:pPr>
        <w:spacing w:line="240" w:lineRule="auto"/>
        <w:rPr>
          <w:rFonts w:ascii="Algerian" w:hAnsi="Algerian"/>
          <w:b/>
          <w:color w:val="7030A0"/>
          <w:sz w:val="56"/>
          <w:szCs w:val="56"/>
          <w:u w:val="single"/>
        </w:rPr>
      </w:pPr>
      <w:r>
        <w:rPr>
          <w:rFonts w:ascii="Algerian" w:hAnsi="Algerian"/>
          <w:b/>
          <w:noProof/>
          <w:color w:val="7030A0"/>
          <w:sz w:val="56"/>
          <w:szCs w:val="5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90805</wp:posOffset>
            </wp:positionV>
            <wp:extent cx="1226185" cy="819785"/>
            <wp:effectExtent l="19050" t="0" r="0" b="0"/>
            <wp:wrapSquare wrapText="bothSides"/>
            <wp:docPr id="3" name="il_fi" descr="http://us.123rf.com/400wm/400/400/bphoto/bphoto1112/bphoto111200023/11590907-set-of-stationery-i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bphoto/bphoto1112/bphoto111200023/11590907-set-of-stationery-ite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P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R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I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C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E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 xml:space="preserve"> L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I</w:t>
      </w:r>
      <w:r w:rsidR="004358DF" w:rsidRPr="007F767D">
        <w:rPr>
          <w:rFonts w:ascii="Algerian" w:hAnsi="Algerian"/>
          <w:b/>
          <w:sz w:val="56"/>
          <w:szCs w:val="56"/>
          <w:u w:val="single"/>
        </w:rPr>
        <w:t>S</w:t>
      </w:r>
      <w:r w:rsidR="004358DF" w:rsidRPr="007F767D">
        <w:rPr>
          <w:rFonts w:ascii="Algerian" w:hAnsi="Algerian"/>
          <w:b/>
          <w:color w:val="7030A0"/>
          <w:sz w:val="56"/>
          <w:szCs w:val="56"/>
          <w:u w:val="single"/>
        </w:rPr>
        <w:t>T</w:t>
      </w:r>
    </w:p>
    <w:p w:rsidR="007F767D" w:rsidRPr="007F767D" w:rsidRDefault="007F767D" w:rsidP="002F7138">
      <w:pPr>
        <w:rPr>
          <w:rFonts w:ascii="Algerian" w:hAnsi="Algerian"/>
          <w:b/>
          <w:sz w:val="40"/>
          <w:szCs w:val="40"/>
          <w:u w:val="single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4086"/>
      </w:tblGrid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1E5DE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bookmarkStart w:id="0" w:name="OLE_LINK1"/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Pen (black</w:t>
            </w:r>
            <w:r w:rsidR="001E5DE5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/</w:t>
            </w: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red)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10p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Pencil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5p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Ruler (15 cm)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10p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Ruler (30 cm)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20p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Clear pencil case (long)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AC154D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90</w:t>
            </w:r>
            <w:r w:rsidR="00EA25E1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Eraser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7440F7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2</w:t>
            </w:r>
            <w:r w:rsidR="00EA25E1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0p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Sharpener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10p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Compass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AC154D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30</w:t>
            </w:r>
            <w:r w:rsidR="00EA25E1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Protractor (180 degrees)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AC154D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20</w:t>
            </w:r>
            <w:r w:rsidR="00EA25E1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195A7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Highlighter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195A76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2</w:t>
            </w:r>
            <w:r w:rsidR="00EA25E1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0p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Glue stick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60p</w:t>
            </w:r>
          </w:p>
        </w:tc>
      </w:tr>
      <w:tr w:rsidR="00D86225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D86225" w:rsidRPr="001E5DE5" w:rsidRDefault="00D86225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A4 Project file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D86225" w:rsidRPr="001E5DE5" w:rsidRDefault="00D86225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20p</w:t>
            </w: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Colouring Pencils (pack of 12)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B87A22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£1.</w:t>
            </w:r>
            <w:r w:rsidR="00AC154D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00</w:t>
            </w:r>
          </w:p>
        </w:tc>
      </w:tr>
      <w:tr w:rsidR="002A18EB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2A18EB" w:rsidRPr="001E5DE5" w:rsidRDefault="002A18EB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highlight w:val="yellow"/>
                <w:lang w:eastAsia="en-GB"/>
              </w:rPr>
              <w:t xml:space="preserve">Exam </w:t>
            </w:r>
            <w:r w:rsidR="003F53FF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highlight w:val="yellow"/>
                <w:lang w:eastAsia="en-GB"/>
              </w:rPr>
              <w:t xml:space="preserve">Essentials </w:t>
            </w: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highlight w:val="yellow"/>
                <w:lang w:eastAsia="en-GB"/>
              </w:rPr>
              <w:t>Pack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2 black pens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red pen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2 pencils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eraser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sharpener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ruler (15cm)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compass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protractor (180 degrees)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highlighter</w:t>
            </w:r>
          </w:p>
          <w:p w:rsidR="002A18EB" w:rsidRPr="001E5DE5" w:rsidRDefault="002A18EB" w:rsidP="002A18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 clear pencil case (small)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2A18EB" w:rsidRPr="001E5DE5" w:rsidRDefault="002A18EB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£</w:t>
            </w:r>
            <w:r w:rsidR="00AC154D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1.5</w:t>
            </w:r>
            <w:r w:rsidR="008D3E7A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0</w:t>
            </w:r>
          </w:p>
          <w:p w:rsidR="003F53FF" w:rsidRPr="001E5DE5" w:rsidRDefault="003F53FF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</w:p>
          <w:p w:rsidR="003F53FF" w:rsidRPr="001E5DE5" w:rsidRDefault="003F53FF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</w:p>
          <w:p w:rsidR="003F53FF" w:rsidRPr="001E5DE5" w:rsidRDefault="003F53FF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</w:p>
          <w:p w:rsidR="003F53FF" w:rsidRPr="001E5DE5" w:rsidRDefault="003F53FF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</w:p>
        </w:tc>
      </w:tr>
      <w:tr w:rsidR="00EA25E1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EA25E1" w:rsidRPr="001E5DE5" w:rsidRDefault="00EA25E1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Scientific Calculator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EA25E1" w:rsidRPr="001E5DE5" w:rsidRDefault="001E5DE5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£6.6</w:t>
            </w:r>
            <w:r w:rsidR="00EA25E1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0</w:t>
            </w:r>
          </w:p>
        </w:tc>
      </w:tr>
      <w:tr w:rsidR="008D3E7A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8D3E7A" w:rsidRPr="001E5DE5" w:rsidRDefault="008D3E7A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highlight w:val="yellow"/>
                <w:lang w:eastAsia="en-GB"/>
              </w:rPr>
              <w:t>Full Stationery Pack</w:t>
            </w:r>
          </w:p>
          <w:p w:rsidR="008D3E7A" w:rsidRPr="001E5DE5" w:rsidRDefault="007122BE" w:rsidP="008D3E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 xml:space="preserve">1 </w:t>
            </w:r>
            <w:r w:rsidR="008D3E7A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Exam Pencil Case Pack</w:t>
            </w:r>
          </w:p>
          <w:p w:rsidR="008D3E7A" w:rsidRPr="001E5DE5" w:rsidRDefault="007122BE" w:rsidP="00AC15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 xml:space="preserve">1 </w:t>
            </w:r>
            <w:r w:rsidR="008D3E7A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Glue stick</w:t>
            </w:r>
          </w:p>
          <w:p w:rsidR="007122BE" w:rsidRPr="001E5DE5" w:rsidRDefault="007122BE" w:rsidP="008D3E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Colouring Pencils (pack of 12)</w:t>
            </w:r>
          </w:p>
          <w:p w:rsidR="008D3E7A" w:rsidRPr="001E5DE5" w:rsidRDefault="007122BE" w:rsidP="008D3E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 xml:space="preserve">1 </w:t>
            </w:r>
            <w:r w:rsidR="008D3E7A"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Scientific Calculator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3F53FF" w:rsidRPr="001E5DE5" w:rsidRDefault="007122BE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 w:rsidRPr="001E5DE5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£10.00</w:t>
            </w:r>
          </w:p>
          <w:p w:rsidR="003F53FF" w:rsidRPr="001E5DE5" w:rsidRDefault="003F53FF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</w:p>
          <w:p w:rsidR="003F53FF" w:rsidRPr="001E5DE5" w:rsidRDefault="003F53FF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</w:p>
        </w:tc>
      </w:tr>
      <w:tr w:rsidR="007440F7" w:rsidRPr="00EA25E1" w:rsidTr="00AC154D">
        <w:trPr>
          <w:trHeight w:val="415"/>
        </w:trPr>
        <w:tc>
          <w:tcPr>
            <w:tcW w:w="6508" w:type="dxa"/>
            <w:shd w:val="clear" w:color="auto" w:fill="auto"/>
            <w:noWrap/>
            <w:vAlign w:val="bottom"/>
            <w:hideMark/>
          </w:tcPr>
          <w:p w:rsidR="007440F7" w:rsidRPr="001E5DE5" w:rsidRDefault="007440F7" w:rsidP="00421C4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8"/>
                <w:szCs w:val="28"/>
                <w:highlight w:val="yellow"/>
                <w:lang w:eastAsia="en-GB"/>
              </w:rPr>
            </w:pPr>
            <w:r w:rsidRPr="007440F7"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School Tie</w:t>
            </w:r>
          </w:p>
        </w:tc>
        <w:tc>
          <w:tcPr>
            <w:tcW w:w="4086" w:type="dxa"/>
            <w:shd w:val="clear" w:color="auto" w:fill="auto"/>
            <w:noWrap/>
            <w:vAlign w:val="bottom"/>
            <w:hideMark/>
          </w:tcPr>
          <w:p w:rsidR="007440F7" w:rsidRPr="001E5DE5" w:rsidRDefault="007440F7" w:rsidP="00AC1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8"/>
                <w:szCs w:val="28"/>
                <w:lang w:eastAsia="en-GB"/>
              </w:rPr>
              <w:t>£4.00</w:t>
            </w:r>
          </w:p>
        </w:tc>
      </w:tr>
    </w:tbl>
    <w:p w:rsidR="004A52E2" w:rsidRDefault="004A52E2" w:rsidP="00B3026F">
      <w:pPr>
        <w:tabs>
          <w:tab w:val="left" w:pos="1763"/>
        </w:tabs>
        <w:rPr>
          <w:rFonts w:ascii="Accord SF" w:hAnsi="Accord SF" w:cs="Aharoni"/>
          <w:sz w:val="32"/>
          <w:szCs w:val="32"/>
        </w:rPr>
      </w:pPr>
      <w:bookmarkStart w:id="1" w:name="_GoBack"/>
      <w:bookmarkEnd w:id="0"/>
      <w:bookmarkEnd w:id="1"/>
    </w:p>
    <w:sectPr w:rsidR="004A52E2" w:rsidSect="00B3026F">
      <w:footerReference w:type="default" r:id="rId8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A9" w:rsidRDefault="00663DA9" w:rsidP="00F46BE4">
      <w:pPr>
        <w:spacing w:after="0" w:line="240" w:lineRule="auto"/>
      </w:pPr>
      <w:r>
        <w:separator/>
      </w:r>
    </w:p>
  </w:endnote>
  <w:endnote w:type="continuationSeparator" w:id="0">
    <w:p w:rsidR="00663DA9" w:rsidRDefault="00663DA9" w:rsidP="00F4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cord S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4D" w:rsidRDefault="00B3026F">
    <w:pPr>
      <w:pStyle w:val="Footer"/>
    </w:pPr>
    <w:r>
      <w:t>Updated September 2017</w:t>
    </w:r>
    <w:r w:rsidR="00AC154D">
      <w:tab/>
    </w:r>
    <w:r w:rsidR="00AC15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A9" w:rsidRDefault="00663DA9" w:rsidP="00F46BE4">
      <w:pPr>
        <w:spacing w:after="0" w:line="240" w:lineRule="auto"/>
      </w:pPr>
      <w:r>
        <w:separator/>
      </w:r>
    </w:p>
  </w:footnote>
  <w:footnote w:type="continuationSeparator" w:id="0">
    <w:p w:rsidR="00663DA9" w:rsidRDefault="00663DA9" w:rsidP="00F4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98A"/>
    <w:multiLevelType w:val="hybridMultilevel"/>
    <w:tmpl w:val="ED60306A"/>
    <w:lvl w:ilvl="0" w:tplc="DE82E13E">
      <w:numFmt w:val="bullet"/>
      <w:lvlText w:val="-"/>
      <w:lvlJc w:val="left"/>
      <w:pPr>
        <w:ind w:left="720" w:hanging="360"/>
      </w:pPr>
      <w:rPr>
        <w:rFonts w:ascii="Accord SF" w:eastAsiaTheme="minorHAnsi" w:hAnsi="Accord SF" w:cs="Aharoni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855"/>
    <w:multiLevelType w:val="hybridMultilevel"/>
    <w:tmpl w:val="F192F4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C91"/>
    <w:multiLevelType w:val="hybridMultilevel"/>
    <w:tmpl w:val="F692C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5EAA"/>
    <w:multiLevelType w:val="hybridMultilevel"/>
    <w:tmpl w:val="B4FE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059D"/>
    <w:multiLevelType w:val="hybridMultilevel"/>
    <w:tmpl w:val="09AE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1334"/>
    <w:multiLevelType w:val="hybridMultilevel"/>
    <w:tmpl w:val="E5DE1B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39BF"/>
    <w:multiLevelType w:val="hybridMultilevel"/>
    <w:tmpl w:val="911A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1D63"/>
    <w:multiLevelType w:val="hybridMultilevel"/>
    <w:tmpl w:val="33B2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48B1"/>
    <w:multiLevelType w:val="hybridMultilevel"/>
    <w:tmpl w:val="AC48E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5AEA"/>
    <w:multiLevelType w:val="hybridMultilevel"/>
    <w:tmpl w:val="0FA69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DF"/>
    <w:rsid w:val="0007718D"/>
    <w:rsid w:val="000D2786"/>
    <w:rsid w:val="00132DFC"/>
    <w:rsid w:val="001832D8"/>
    <w:rsid w:val="00195A76"/>
    <w:rsid w:val="001C39F9"/>
    <w:rsid w:val="001E5DE5"/>
    <w:rsid w:val="002A18EB"/>
    <w:rsid w:val="002E7656"/>
    <w:rsid w:val="002F7138"/>
    <w:rsid w:val="00327B53"/>
    <w:rsid w:val="00373DF1"/>
    <w:rsid w:val="003F53FF"/>
    <w:rsid w:val="004048D3"/>
    <w:rsid w:val="00421C47"/>
    <w:rsid w:val="004358DF"/>
    <w:rsid w:val="004A52E2"/>
    <w:rsid w:val="00567071"/>
    <w:rsid w:val="005D515B"/>
    <w:rsid w:val="00663DA9"/>
    <w:rsid w:val="00686648"/>
    <w:rsid w:val="006E4E33"/>
    <w:rsid w:val="007122BE"/>
    <w:rsid w:val="007440F7"/>
    <w:rsid w:val="00751BED"/>
    <w:rsid w:val="00764106"/>
    <w:rsid w:val="007A1095"/>
    <w:rsid w:val="007F767D"/>
    <w:rsid w:val="008418E1"/>
    <w:rsid w:val="00880ACE"/>
    <w:rsid w:val="0088439C"/>
    <w:rsid w:val="008D3E7A"/>
    <w:rsid w:val="00906C4C"/>
    <w:rsid w:val="00923B0F"/>
    <w:rsid w:val="0094345D"/>
    <w:rsid w:val="00984717"/>
    <w:rsid w:val="00AA2285"/>
    <w:rsid w:val="00AA7225"/>
    <w:rsid w:val="00AB7BCC"/>
    <w:rsid w:val="00AC154D"/>
    <w:rsid w:val="00AC442C"/>
    <w:rsid w:val="00B3026F"/>
    <w:rsid w:val="00B315E2"/>
    <w:rsid w:val="00B87A22"/>
    <w:rsid w:val="00C1488A"/>
    <w:rsid w:val="00D643CB"/>
    <w:rsid w:val="00D80E1B"/>
    <w:rsid w:val="00D86225"/>
    <w:rsid w:val="00DC167F"/>
    <w:rsid w:val="00E23976"/>
    <w:rsid w:val="00E41ADB"/>
    <w:rsid w:val="00E71166"/>
    <w:rsid w:val="00EA25E1"/>
    <w:rsid w:val="00ED6584"/>
    <w:rsid w:val="00F46BE4"/>
    <w:rsid w:val="00F509C5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A87A46"/>
  <w15:docId w15:val="{418CC8E7-D7C3-47B2-BE88-F0AB4C6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E4"/>
  </w:style>
  <w:style w:type="paragraph" w:styleId="Footer">
    <w:name w:val="footer"/>
    <w:basedOn w:val="Normal"/>
    <w:link w:val="FooterChar"/>
    <w:uiPriority w:val="99"/>
    <w:unhideWhenUsed/>
    <w:rsid w:val="00F4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k.butter01</dc:creator>
  <cp:lastModifiedBy>Lee Taylor</cp:lastModifiedBy>
  <cp:revision>4</cp:revision>
  <cp:lastPrinted>2014-09-25T13:45:00Z</cp:lastPrinted>
  <dcterms:created xsi:type="dcterms:W3CDTF">2017-09-05T06:41:00Z</dcterms:created>
  <dcterms:modified xsi:type="dcterms:W3CDTF">2017-11-13T12:28:00Z</dcterms:modified>
</cp:coreProperties>
</file>